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D43CA">
      <w:pPr>
        <w:rPr>
          <w:rFonts w:hint="eastAsia" w:ascii="Times New Roman" w:hAnsi="Times New Roman" w:cs="Times New Roman" w:eastAsiaTheme="minorEastAsia"/>
          <w:sz w:val="24"/>
          <w:szCs w:val="32"/>
          <w:lang w:eastAsia="zh-CN"/>
        </w:rPr>
      </w:pPr>
      <w:bookmarkStart w:id="0" w:name="_GoBack"/>
      <w:bookmarkEnd w:id="0"/>
      <w:r>
        <w:rPr>
          <w:rFonts w:hint="eastAsia" w:ascii="Times New Roman" w:hAnsi="Times New Roman" w:cs="Times New Roman" w:eastAsiaTheme="minorEastAsia"/>
          <w:sz w:val="24"/>
          <w:szCs w:val="32"/>
          <w:lang w:eastAsia="zh-CN"/>
        </w:rPr>
        <w:t>Supplementary Table 2. Progression-free survival (PFS) outcomes between high- and low-risk groups based on ICD-related gene signature.</w:t>
      </w:r>
    </w:p>
    <w:p w14:paraId="2F069346">
      <w:pPr>
        <w:rPr>
          <w:rFonts w:hint="default" w:ascii="Times New Roman" w:hAnsi="Times New Roman" w:cs="Times New Roman" w:eastAsiaTheme="minorEastAsia"/>
          <w:sz w:val="24"/>
          <w:szCs w:val="32"/>
          <w:lang w:eastAsia="zh-CN"/>
        </w:rPr>
      </w:pPr>
    </w:p>
    <w:tbl>
      <w:tblPr>
        <w:tblStyle w:val="3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9"/>
        <w:gridCol w:w="3040"/>
        <w:gridCol w:w="3040"/>
      </w:tblGrid>
      <w:tr w14:paraId="4E5B1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39" w:type="dxa"/>
            <w:tcBorders>
              <w:left w:val="nil"/>
              <w:bottom w:val="single" w:color="auto" w:sz="4" w:space="0"/>
              <w:right w:val="nil"/>
            </w:tcBorders>
          </w:tcPr>
          <w:p w14:paraId="07CB75DE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3040" w:type="dxa"/>
            <w:tcBorders>
              <w:left w:val="nil"/>
              <w:bottom w:val="single" w:color="auto" w:sz="4" w:space="0"/>
              <w:right w:val="nil"/>
            </w:tcBorders>
          </w:tcPr>
          <w:p w14:paraId="37FC0714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Low-risk (n=70)</w:t>
            </w:r>
          </w:p>
        </w:tc>
        <w:tc>
          <w:tcPr>
            <w:tcW w:w="3040" w:type="dxa"/>
            <w:tcBorders>
              <w:left w:val="nil"/>
              <w:bottom w:val="single" w:color="auto" w:sz="4" w:space="0"/>
              <w:right w:val="nil"/>
            </w:tcBorders>
          </w:tcPr>
          <w:p w14:paraId="7B14B0D5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High-risk (n=69)</w:t>
            </w:r>
          </w:p>
        </w:tc>
      </w:tr>
      <w:tr w14:paraId="3D95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3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01C9CCB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Number of events</w:t>
            </w: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D86F52E">
            <w:pP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34</w:t>
            </w:r>
          </w:p>
        </w:tc>
        <w:tc>
          <w:tcPr>
            <w:tcW w:w="30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24C1CC9">
            <w:pP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53</w:t>
            </w:r>
          </w:p>
        </w:tc>
      </w:tr>
      <w:tr w14:paraId="4FA0A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14:paraId="3292744F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Median PFS (95% CI)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14:paraId="2F825B42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854d (577–NE)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14:paraId="137C2389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303d (215–609)</w:t>
            </w:r>
          </w:p>
        </w:tc>
      </w:tr>
      <w:tr w14:paraId="7CD46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14:paraId="7C05D2DE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1-year PFS (95% CI)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14:paraId="76EC9404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78.1% (67.9–89.7%)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</w:tcPr>
          <w:p w14:paraId="7D2EA543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52.2% (40.4–66.3%)</w:t>
            </w:r>
          </w:p>
        </w:tc>
      </w:tr>
      <w:tr w14:paraId="286D6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039" w:type="dxa"/>
            <w:tcBorders>
              <w:top w:val="nil"/>
              <w:left w:val="nil"/>
              <w:right w:val="nil"/>
            </w:tcBorders>
          </w:tcPr>
          <w:p w14:paraId="01C91981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2-year PFS (95% CI)</w:t>
            </w:r>
          </w:p>
        </w:tc>
        <w:tc>
          <w:tcPr>
            <w:tcW w:w="3040" w:type="dxa"/>
            <w:tcBorders>
              <w:top w:val="nil"/>
              <w:left w:val="nil"/>
              <w:right w:val="nil"/>
            </w:tcBorders>
          </w:tcPr>
          <w:p w14:paraId="3EFE3100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61.4% (48.6–77.6%)</w:t>
            </w:r>
          </w:p>
        </w:tc>
        <w:tc>
          <w:tcPr>
            <w:tcW w:w="3040" w:type="dxa"/>
            <w:tcBorders>
              <w:top w:val="nil"/>
              <w:left w:val="nil"/>
              <w:right w:val="nil"/>
            </w:tcBorders>
          </w:tcPr>
          <w:p w14:paraId="2E96FFD6">
            <w:pP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31.5% (20.1–49.3%)</w:t>
            </w:r>
          </w:p>
        </w:tc>
      </w:tr>
    </w:tbl>
    <w:p w14:paraId="016F338B">
      <w:pPr>
        <w:rPr>
          <w:rFonts w:hint="default" w:ascii="Times New Roman" w:hAnsi="Times New Roman" w:cs="Times New Roman" w:eastAsiaTheme="minorEastAsia"/>
          <w:sz w:val="24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0614B"/>
    <w:rsid w:val="3FF0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2025-07-24T01:25:00Z</dcterms:created>
  <dc:creator>Author</dc:creator>
  <cp:lastModifiedBy>Author</cp:lastModifiedBy>
  <dcterms:modified xsi:type="dcterms:W3CDTF">2025-07-24T01:33:23Z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64E7E4C5582E405984AE432BC9E8CF1A_11</vt:lpwstr>
  </property>
  <property fmtid="{D5CDD505-2E9C-101B-9397-08002B2CF9AE}" pid="4" name="KSOTemplateDocerSaveRecord">
    <vt:lpwstr>eyJoZGlkIjoiMmVlOGY1ZTM0YzgyOTE4NGE4MGIwN2I2YTI0Nzc1NmUiLCJ1c2VySWQiOiIxNTgyNTg5NTYzIn0=</vt:lpwstr>
  </property>
</Properties>
</file>